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eastAsia="Calibri" w:hAnsi="Times New Roman"/>
          <w:b/>
          <w:noProof/>
          <w:sz w:val="28"/>
          <w:szCs w:val="28"/>
          <w:u w:val="single"/>
          <w:lang w:eastAsia="sk-SK"/>
        </w:rPr>
      </w:pPr>
      <w:r>
        <w:rPr>
          <w:rFonts w:ascii="Times New Roman" w:cs="Times New Roman" w:eastAsia="Calibri" w:hAnsi="Times New Roman"/>
          <w:b/>
          <w:noProof/>
          <w:sz w:val="28"/>
          <w:szCs w:val="28"/>
          <w:u w:val="single"/>
          <w:lang w:eastAsia="sk-SK"/>
        </w:rPr>
        <w:t>Špecifiká evidovania žiadateľa o dočasné  útočisko</w:t>
      </w:r>
    </w:p>
    <w:p>
      <w:pPr>
        <w:pStyle w:val="style0"/>
        <w:rPr>
          <w:rFonts w:ascii="Times New Roman" w:cs="Times New Roman" w:eastAsia="Calibri" w:hAnsi="Times New Roman"/>
          <w:b/>
          <w:noProof/>
          <w:u w:val="single"/>
          <w:lang w:eastAsia="sk-SK"/>
        </w:rPr>
      </w:pPr>
    </w:p>
    <w:p>
      <w:pPr>
        <w:pStyle w:val="style0"/>
        <w:ind w:firstLine="426"/>
        <w:jc w:val="both"/>
        <w:rPr>
          <w:rFonts w:ascii="Times New Roman" w:cs="Times New Roman" w:eastAsia="Calibri" w:hAnsi="Times New Roman"/>
          <w:b/>
          <w:noProof/>
          <w:lang w:eastAsia="sk-SK"/>
        </w:rPr>
      </w:pPr>
      <w:r>
        <w:rPr>
          <w:rFonts w:ascii="Times New Roman" w:cs="Times New Roman" w:eastAsia="Calibri" w:hAnsi="Times New Roman"/>
          <w:noProof/>
          <w:lang w:eastAsia="sk-SK"/>
        </w:rPr>
        <w:t>Uznesením č. 144 z 28.2.2022 vláda SR schválila návrh na vyhlásenie poskytovania dočasného útočiska podľa § 29 ods. 2 zákona zákon o azyle</w:t>
      </w:r>
      <w:r>
        <w:rPr>
          <w:rFonts w:ascii="Times New Roman" w:cs="Times New Roman" w:eastAsia="Calibri" w:hAnsi="Times New Roman"/>
          <w:b/>
          <w:noProof/>
          <w:lang w:eastAsia="sk-SK"/>
        </w:rPr>
        <w:t xml:space="preserve"> </w:t>
      </w:r>
      <w:r>
        <w:rPr>
          <w:rFonts w:ascii="Times New Roman" w:cs="Times New Roman" w:eastAsia="Calibri" w:hAnsi="Times New Roman"/>
          <w:b/>
          <w:noProof/>
          <w:u w:val="single"/>
          <w:lang w:eastAsia="sk-SK"/>
        </w:rPr>
        <w:t>štátnym občanom Ukrajiny a ich rodinným príslušníkom v súvislosti s ozbrojeným konfliktom na Ukrajine</w:t>
      </w:r>
      <w:r>
        <w:rPr>
          <w:rFonts w:ascii="Times New Roman" w:cs="Times New Roman" w:eastAsia="Calibri" w:hAnsi="Times New Roman"/>
          <w:b/>
          <w:noProof/>
          <w:lang w:eastAsia="sk-SK"/>
        </w:rPr>
        <w:t xml:space="preserve">, </w:t>
      </w:r>
      <w:r>
        <w:rPr>
          <w:rFonts w:ascii="Times New Roman" w:cs="Times New Roman" w:eastAsia="Calibri" w:hAnsi="Times New Roman"/>
          <w:noProof/>
          <w:lang w:eastAsia="sk-SK"/>
        </w:rPr>
        <w:t>ktorý spôsobil hromadný prílev cudzincov na územie Slovenskej republiky.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Calibri" w:hAnsi="Times New Roman"/>
          <w:sz w:val="24"/>
          <w:szCs w:val="24"/>
          <w:u w:val="single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u w:val="single"/>
          <w:lang w:eastAsia="sk-SK"/>
        </w:rPr>
        <w:t>Za rodinného príslušníka štátneho občana Ukrajiny sa považuje: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1.</w:t>
      </w:r>
      <w:r>
        <w:rPr>
          <w:rFonts w:ascii="Times New Roman" w:cs="Times New Roman" w:eastAsia="Calibri" w:hAnsi="Times New Roman"/>
          <w:sz w:val="14"/>
          <w:szCs w:val="14"/>
          <w:lang w:eastAsia="sk-SK"/>
        </w:rPr>
        <w:t>      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manžel štátneho občana Ukrajiny,</w:t>
      </w:r>
    </w:p>
    <w:p>
      <w:pPr>
        <w:pStyle w:val="style0"/>
        <w:spacing w:before="100" w:beforeAutospacing="true" w:after="100" w:afterAutospacing="true" w:lineRule="auto" w:line="240"/>
        <w:ind w:left="426" w:hanging="426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2.</w:t>
      </w:r>
      <w:r>
        <w:rPr>
          <w:rFonts w:ascii="Times New Roman" w:cs="Times New Roman" w:eastAsia="Calibri" w:hAnsi="Times New Roman"/>
          <w:sz w:val="14"/>
          <w:szCs w:val="14"/>
          <w:lang w:eastAsia="sk-SK"/>
        </w:rPr>
        <w:t>      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 xml:space="preserve">maloleté dieťa štátneho občana Ukrajiny alebo maloleté dieťa manžela štátneho 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 xml:space="preserve">občana 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Ukrajiny,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3.</w:t>
      </w:r>
      <w:r>
        <w:rPr>
          <w:rFonts w:ascii="Times New Roman" w:cs="Times New Roman" w:eastAsia="Calibri" w:hAnsi="Times New Roman"/>
          <w:sz w:val="14"/>
          <w:szCs w:val="14"/>
          <w:lang w:eastAsia="sk-SK"/>
        </w:rPr>
        <w:t>      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rodič maloletého dieťaťa, ktoré je štátnym občanom Ukrajiny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Začiatok poskytovania dočasného útočiska  je  deň 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>1.3.2022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.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Poskytovanie dočasné útočisko  je do 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>31.12.2022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>, s možnosťou jeho predčasného skončenia alebo predĺženia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.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 xml:space="preserve">Žiadosť o poskytnutie dočasného útočiska môže štátny občan Ukrajiny a jeho rodinný príslušník podať 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- pri vstupe na územie Slovenskej republiky na príslušnom policajnom útvare v mieste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hraničného priechodu,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b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b/>
          <w:sz w:val="24"/>
          <w:szCs w:val="24"/>
          <w:lang w:eastAsia="sk-SK"/>
        </w:rPr>
        <w:t>- po vstupe na územie Slovenskej republiky na policajnom útvare príslušnom podľa miesta, kde sa zdržiava.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b/>
          <w:sz w:val="24"/>
          <w:szCs w:val="24"/>
          <w:lang w:eastAsia="sk-SK"/>
        </w:rPr>
        <w:t xml:space="preserve">K žiadosti o poskytnutie dočasného útočiska 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občan Ukrajiny a jeho rodinný príslušník priloží: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- doklad, ktorým preukáže svoju totožnosť (napr. cestovný pas, IDK s fotografiou, vodičský preukazom s fotografiou spoločne s rodným listom a pod.)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i/>
          <w:sz w:val="24"/>
          <w:szCs w:val="24"/>
          <w:u w:val="single"/>
          <w:lang w:eastAsia="sk-SK"/>
        </w:rPr>
      </w:pPr>
      <w:r>
        <w:rPr>
          <w:rFonts w:ascii="Times New Roman" w:cs="Times New Roman" w:eastAsia="Calibri" w:hAnsi="Times New Roman"/>
          <w:i/>
          <w:sz w:val="24"/>
          <w:szCs w:val="24"/>
          <w:u w:val="single"/>
          <w:lang w:eastAsia="sk-SK"/>
        </w:rPr>
        <w:t>- v prípade, ak už má zabezpečené ubytovanie</w:t>
      </w:r>
      <w:r>
        <w:rPr>
          <w:rFonts w:ascii="Times New Roman" w:cs="Times New Roman" w:eastAsia="Calibri" w:hAnsi="Times New Roman"/>
          <w:i/>
          <w:sz w:val="24"/>
          <w:szCs w:val="24"/>
          <w:u w:val="single"/>
          <w:lang w:eastAsia="sk-SK"/>
        </w:rPr>
        <w:t>: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čestné vyhlásenie všetkých vlastníkov nehnuteľnosti o poskytnutí ubytovania 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alebo,  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zmluva o nájme uzavretú s vlastníkom/vlastníkmi nehnuteľnosti. 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Podpisy na uvedených dokladoch nemusia byť osvedčené.</w:t>
      </w:r>
    </w:p>
    <w:p>
      <w:pPr>
        <w:pStyle w:val="style179"/>
        <w:numPr>
          <w:ilvl w:val="0"/>
          <w:numId w:val="1"/>
        </w:numPr>
        <w:spacing w:before="100" w:beforeAutospacing="true" w:after="0" w:lineRule="auto" w:line="240"/>
        <w:jc w:val="both"/>
        <w:rPr>
          <w:rFonts w:ascii="Times New Roman" w:cs="Times New Roman" w:eastAsia="Calibri" w:hAnsi="Times New Roman"/>
          <w:i/>
          <w:sz w:val="24"/>
          <w:szCs w:val="24"/>
          <w:u w:val="single"/>
          <w:lang w:eastAsia="sk-SK"/>
        </w:rPr>
      </w:pPr>
      <w:r>
        <w:rPr>
          <w:rFonts w:ascii="Times New Roman" w:cs="Times New Roman" w:eastAsia="Calibri" w:hAnsi="Times New Roman"/>
          <w:i/>
          <w:sz w:val="24"/>
          <w:szCs w:val="24"/>
          <w:u w:val="single"/>
          <w:lang w:eastAsia="sk-SK"/>
        </w:rPr>
        <w:t>v prípade ak žiadateľ nemá zabezpečené ubytovanie, policajný útvar ho prihlási na obec, v ktorej sa žiadateľ bude zdržiavať</w:t>
      </w:r>
    </w:p>
    <w:p>
      <w:pPr>
        <w:pStyle w:val="style0"/>
        <w:spacing w:before="100" w:beforeAutospacing="true" w:after="0" w:lineRule="auto" w:line="240"/>
        <w:ind w:firstLine="426"/>
        <w:jc w:val="both"/>
        <w:rPr>
          <w:rFonts w:ascii="Times New Roman" w:cs="Times New Roman" w:eastAsia="Calibri" w:hAnsi="Times New Roman"/>
          <w:i/>
          <w:sz w:val="24"/>
          <w:szCs w:val="24"/>
          <w:u w:val="single"/>
          <w:lang w:eastAsia="sk-SK"/>
        </w:rPr>
      </w:pPr>
    </w:p>
    <w:p>
      <w:pPr>
        <w:pStyle w:val="style0"/>
        <w:spacing w:before="100" w:beforeAutospacing="true" w:after="100" w:afterAutospacing="true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 xml:space="preserve"> Po vykonaní potrebných úkonov vydá policajný útvar žiadateľovi (štátny občan Ukrajiny a jeho rodinný príslušník) 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„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Potvrdenie o udelení tolerovaného pobytu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“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 xml:space="preserve"> s označením „ODÍDENEC“. </w:t>
      </w:r>
    </w:p>
    <w:p>
      <w:pPr>
        <w:pStyle w:val="style0"/>
        <w:spacing w:before="100" w:beforeAutospacing="true" w:after="100" w:afterAutospacing="true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</w:p>
    <w:p>
      <w:pPr>
        <w:pStyle w:val="style0"/>
        <w:spacing w:before="100" w:beforeAutospacing="true" w:after="100" w:afterAutospacing="true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V súčasnosti je možné, aby sa žiadatelia o poskytnutie dočasného útočiska pred príchodom na Oddelenie cudzineckej polície zaregistrovali do formulára na stránke</w:t>
      </w:r>
    </w:p>
    <w:p>
      <w:pPr>
        <w:pStyle w:val="style0"/>
        <w:rPr>
          <w:color w:val="1f497d"/>
        </w:rPr>
      </w:pPr>
      <w:r>
        <w:rPr/>
        <w:fldChar w:fldCharType="begin"/>
      </w:r>
      <w:r>
        <w:instrText xml:space="preserve"> HYPERLINK "https://portal.minv.sk/wps/portal/domov/ecu/ecu_elektronicke_sluzby/ECU-UA" </w:instrText>
      </w:r>
      <w:r>
        <w:rPr/>
        <w:fldChar w:fldCharType="separate"/>
      </w:r>
      <w:r>
        <w:rPr>
          <w:rStyle w:val="style85"/>
        </w:rPr>
        <w:t>https://portal.minv.sk/wps/portal/domov/ecu/ecu_elektronicke_sluzby/ECU-UA</w:t>
      </w:r>
      <w:r>
        <w:rPr/>
        <w:fldChar w:fldCharType="end"/>
      </w:r>
      <w:r>
        <w:rPr>
          <w:color w:val="1f497d"/>
        </w:rPr>
        <w:t xml:space="preserve"> </w:t>
      </w:r>
    </w:p>
    <w:p>
      <w:pPr>
        <w:pStyle w:val="style0"/>
        <w:rPr>
          <w:color w:val="1f497d"/>
        </w:rPr>
      </w:pPr>
    </w:p>
    <w:p>
      <w:pPr>
        <w:pStyle w:val="style0"/>
        <w:rPr>
          <w:color w:val="1f497d"/>
        </w:rPr>
      </w:pPr>
      <w:r>
        <w:rPr>
          <w:noProof/>
          <w:color w:val="1f497d"/>
          <w:lang w:eastAsia="sk-SK"/>
        </w:rPr>
        <w:drawing>
          <wp:inline distL="0" distT="0" distB="0" distR="0">
            <wp:extent cx="3350895" cy="3350895"/>
            <wp:effectExtent l="0" t="0" r="1905" b="1905"/>
            <wp:docPr id="1026" name="Obrázok 1" descr="d:\Dudas\dudas\1\Registracia_docasneho_utociska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V="1">
                      <a:off x="0" y="0"/>
                      <a:ext cx="3350895" cy="33508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color w:val="1f497d"/>
        </w:rPr>
      </w:pPr>
    </w:p>
    <w:p>
      <w:pPr>
        <w:pStyle w:val="style0"/>
        <w:rPr/>
      </w:pPr>
      <w:r>
        <w:t>urýchli to ich následnú registráciu príslušníkmi oddelenia a samotné vydanie dokladu „potvrdenie o udelení tolerovaného pobytu“.</w:t>
      </w:r>
    </w:p>
    <w:bookmarkStart w:id="0" w:name="_GoBack"/>
    <w:bookmarkEnd w:id="0"/>
    <w:p>
      <w:pPr>
        <w:pStyle w:val="style0"/>
        <w:rPr>
          <w:sz w:val="56"/>
          <w:szCs w:val="56"/>
        </w:rPr>
      </w:pPr>
      <w:r>
        <w:rPr>
          <w:sz w:val="56"/>
          <w:szCs w:val="56"/>
        </w:rPr>
        <w:t>Na urýchlenie procesu vybavenia na polícii je však potrebné registračný formulár vyplniť LATINKU, nie v azbuke.</w:t>
      </w:r>
    </w:p>
    <w:p>
      <w:pPr>
        <w:pStyle w:val="style0"/>
        <w:spacing w:before="100" w:beforeAutospacing="true" w:after="100" w:afterAutospacing="true" w:lineRule="auto" w:line="240"/>
        <w:ind w:firstLine="426"/>
        <w:jc w:val="both"/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</w:pP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 xml:space="preserve">V rámci </w:t>
      </w:r>
      <w:r>
        <w:rPr>
          <w:rFonts w:ascii="Times New Roman" w:cs="Times New Roman" w:eastAsia="Calibri" w:hAnsi="Times New Roman"/>
          <w:b/>
          <w:sz w:val="24"/>
          <w:szCs w:val="24"/>
          <w:lang w:eastAsia="sk-SK"/>
        </w:rPr>
        <w:t>Riaditeľstva hraničnej a cudzineckej polície Banská Bystrica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 xml:space="preserve"> sú </w:t>
      </w:r>
      <w:r>
        <w:rPr>
          <w:rFonts w:ascii="Times New Roman" w:cs="Times New Roman" w:eastAsia="Calibri" w:hAnsi="Times New Roman"/>
          <w:b/>
          <w:sz w:val="24"/>
          <w:szCs w:val="24"/>
          <w:u w:val="single"/>
          <w:lang w:eastAsia="sk-SK"/>
        </w:rPr>
        <w:t>príslušné na </w:t>
      </w:r>
      <w:r>
        <w:rPr>
          <w:rFonts w:ascii="Times New Roman" w:cs="Times New Roman" w:eastAsia="Calibri" w:hAnsi="Times New Roman"/>
          <w:b/>
          <w:sz w:val="24"/>
          <w:szCs w:val="24"/>
          <w:u w:val="single"/>
          <w:lang w:eastAsia="sk-SK"/>
        </w:rPr>
        <w:t>prijatie vyhlásení o žiadosti o dočasné útočisko nasledovné útvary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:</w:t>
      </w:r>
    </w:p>
    <w:p>
      <w:pPr>
        <w:pStyle w:val="style4097"/>
        <w:numPr>
          <w:ilvl w:val="0"/>
          <w:numId w:val="4"/>
        </w:numPr>
        <w:rPr/>
      </w:pPr>
      <w:r>
        <w:rPr>
          <w:b/>
        </w:rPr>
        <w:t>Oddelenie cudzineckej polície PZ Ružomberok</w:t>
      </w:r>
      <w:r>
        <w:t>, Námestie Andreja Hlinku 74, 034 01 Ružomberok</w:t>
      </w:r>
      <w:r>
        <w:t xml:space="preserve">, </w:t>
      </w:r>
      <w:r>
        <w:rPr/>
        <w:fldChar w:fldCharType="begin"/>
      </w:r>
      <w:r>
        <w:instrText xml:space="preserve"> HYPERLINK "mailto:ocppzrk@minv.sk" </w:instrText>
      </w:r>
      <w:r>
        <w:rPr/>
        <w:fldChar w:fldCharType="separate"/>
      </w:r>
      <w:r>
        <w:rPr>
          <w:rStyle w:val="style85"/>
        </w:rPr>
        <w:t>ocppzrk@minv.sk</w:t>
      </w:r>
      <w:r>
        <w:rPr/>
        <w:fldChar w:fldCharType="end"/>
      </w:r>
      <w:r>
        <w:t>, + 421 961 48 3205, + 421 961 48 3200</w:t>
      </w:r>
    </w:p>
    <w:p>
      <w:pPr>
        <w:pStyle w:val="style4097"/>
        <w:ind w:left="720"/>
        <w:rPr/>
      </w:pPr>
      <w:r>
        <w:rPr>
          <w:b/>
        </w:rPr>
        <w:t xml:space="preserve">kontaktná osoba – kpt. Mgr. Ján Hečko: </w:t>
      </w:r>
      <w:r>
        <w:rPr>
          <w:b/>
        </w:rPr>
        <w:t>+421</w:t>
      </w:r>
      <w:r>
        <w:rPr>
          <w:b/>
        </w:rPr>
        <w:t xml:space="preserve"> </w:t>
      </w:r>
      <w:r>
        <w:rPr>
          <w:b/>
        </w:rPr>
        <w:t>917 609235</w:t>
      </w:r>
    </w:p>
    <w:p>
      <w:pPr>
        <w:pStyle w:val="style4097"/>
        <w:ind w:left="720"/>
        <w:rPr/>
      </w:pPr>
    </w:p>
    <w:p>
      <w:pPr>
        <w:pStyle w:val="style4097"/>
        <w:numPr>
          <w:ilvl w:val="0"/>
          <w:numId w:val="4"/>
        </w:numPr>
        <w:rPr/>
      </w:pPr>
      <w:r>
        <w:rPr>
          <w:rFonts w:eastAsia="Calibri"/>
          <w:b/>
          <w:lang w:eastAsia="sk-SK"/>
        </w:rPr>
        <w:t>Oddelenie cudzineckej polície PZ Banská Bystrica</w:t>
      </w:r>
      <w:r>
        <w:rPr>
          <w:rFonts w:eastAsia="Calibri"/>
          <w:lang w:eastAsia="sk-SK"/>
        </w:rPr>
        <w:t>, Sládkovičova 25, 974 05 Banská Bystrica</w:t>
      </w:r>
      <w:r>
        <w:rPr>
          <w:rFonts w:eastAsia="Calibri"/>
          <w:lang w:eastAsia="sk-SK"/>
        </w:rPr>
        <w:t xml:space="preserve">, </w:t>
      </w:r>
      <w:r>
        <w:rPr/>
        <w:fldChar w:fldCharType="begin"/>
      </w:r>
      <w:r>
        <w:instrText xml:space="preserve"> HYPERLINK "mailto:ocppzbb@minv.sk" </w:instrText>
      </w:r>
      <w:r>
        <w:rPr/>
        <w:fldChar w:fldCharType="separate"/>
      </w:r>
      <w:r>
        <w:rPr>
          <w:rStyle w:val="style85"/>
        </w:rPr>
        <w:t>ocppzbb@minv.sk</w:t>
      </w:r>
      <w:r>
        <w:rPr/>
        <w:fldChar w:fldCharType="end"/>
      </w:r>
      <w:r>
        <w:t>, + 421 961 60 3205, + 421 961 60 3200</w:t>
      </w:r>
    </w:p>
    <w:p>
      <w:pPr>
        <w:pStyle w:val="style4097"/>
        <w:ind w:left="720"/>
        <w:rPr/>
      </w:pPr>
      <w:r>
        <w:rPr>
          <w:b/>
        </w:rPr>
        <w:t xml:space="preserve">kontaktná osoba – kpt. Mgr. Tomáš Mikloš: </w:t>
      </w:r>
      <w:r>
        <w:rPr>
          <w:b/>
        </w:rPr>
        <w:t>+421</w:t>
      </w:r>
      <w:r>
        <w:rPr>
          <w:b/>
        </w:rPr>
        <w:t xml:space="preserve"> </w:t>
      </w:r>
      <w:r>
        <w:rPr>
          <w:b/>
        </w:rPr>
        <w:t>917 473243</w:t>
      </w:r>
    </w:p>
    <w:p>
      <w:pPr>
        <w:pStyle w:val="style179"/>
        <w:rPr/>
      </w:pPr>
    </w:p>
    <w:p>
      <w:pPr>
        <w:pStyle w:val="style4097"/>
        <w:numPr>
          <w:ilvl w:val="0"/>
          <w:numId w:val="4"/>
        </w:numPr>
        <w:rPr/>
      </w:pPr>
      <w:r>
        <w:rPr>
          <w:rFonts w:eastAsia="Calibri"/>
          <w:b/>
          <w:lang w:eastAsia="sk-SK"/>
        </w:rPr>
        <w:t>Oddelenie cudzineckej polície PZ Rimavská Sobota</w:t>
      </w:r>
      <w:r>
        <w:rPr>
          <w:rFonts w:eastAsia="Calibri"/>
          <w:lang w:eastAsia="sk-SK"/>
        </w:rPr>
        <w:t>, Hviezdoslavova 35, 979 01 Rimavská Sobota</w:t>
      </w:r>
      <w:r>
        <w:rPr>
          <w:rFonts w:eastAsia="Calibri"/>
          <w:lang w:eastAsia="sk-SK"/>
        </w:rPr>
        <w:t xml:space="preserve">, </w:t>
      </w:r>
      <w:r>
        <w:rPr/>
        <w:fldChar w:fldCharType="begin"/>
      </w:r>
      <w:r>
        <w:instrText xml:space="preserve"> HYPERLINK "mailto:ocppzrs@minv.sk" </w:instrText>
      </w:r>
      <w:r>
        <w:rPr/>
        <w:fldChar w:fldCharType="separate"/>
      </w:r>
      <w:r>
        <w:rPr>
          <w:rStyle w:val="style85"/>
        </w:rPr>
        <w:t>ocppzrs@minv.sk</w:t>
      </w:r>
      <w:r>
        <w:rPr/>
        <w:fldChar w:fldCharType="end"/>
      </w:r>
      <w:r>
        <w:t>, + 421 961 68 3205, + 421 961 68 3200</w:t>
      </w:r>
    </w:p>
    <w:p>
      <w:pPr>
        <w:pStyle w:val="style4097"/>
        <w:ind w:left="720"/>
        <w:rPr>
          <w:b/>
        </w:rPr>
      </w:pPr>
      <w:r>
        <w:rPr>
          <w:b/>
        </w:rPr>
        <w:t xml:space="preserve">kontaktná osoba – mjr. Mgr. René Sýkora: </w:t>
      </w:r>
      <w:r>
        <w:rPr>
          <w:b/>
        </w:rPr>
        <w:t>+421</w:t>
      </w:r>
      <w:r>
        <w:rPr>
          <w:b/>
        </w:rPr>
        <w:t xml:space="preserve"> </w:t>
      </w:r>
      <w:r>
        <w:rPr>
          <w:b/>
        </w:rPr>
        <w:t>917 473</w:t>
      </w:r>
      <w:r>
        <w:rPr>
          <w:b/>
        </w:rPr>
        <w:t>328</w:t>
      </w:r>
    </w:p>
    <w:p>
      <w:pPr>
        <w:pStyle w:val="style4097"/>
        <w:ind w:left="720"/>
        <w:rPr/>
      </w:pPr>
    </w:p>
    <w:p>
      <w:pPr>
        <w:pStyle w:val="style4097"/>
        <w:numPr>
          <w:ilvl w:val="0"/>
          <w:numId w:val="4"/>
        </w:numPr>
        <w:rPr/>
      </w:pPr>
      <w:r>
        <w:rPr>
          <w:rFonts w:eastAsia="Calibri"/>
          <w:b/>
          <w:lang w:eastAsia="sk-SK"/>
        </w:rPr>
        <w:t>Oddelenie cudzineckej polície PZ Trenčín</w:t>
      </w:r>
      <w:r>
        <w:rPr>
          <w:rFonts w:eastAsia="Calibri"/>
          <w:lang w:eastAsia="sk-SK"/>
        </w:rPr>
        <w:t>, Jilemnického 2, 911 01 Trenčín</w:t>
      </w:r>
      <w:r>
        <w:rPr>
          <w:rFonts w:eastAsia="Calibri"/>
          <w:lang w:eastAsia="sk-SK"/>
        </w:rPr>
        <w:t xml:space="preserve">, </w:t>
      </w:r>
      <w:r>
        <w:rPr/>
        <w:fldChar w:fldCharType="begin"/>
      </w:r>
      <w:r>
        <w:instrText xml:space="preserve"> HYPERLINK "mailto:ocptn@minv.sk" </w:instrText>
      </w:r>
      <w:r>
        <w:rPr/>
        <w:fldChar w:fldCharType="separate"/>
      </w:r>
      <w:r>
        <w:rPr>
          <w:rStyle w:val="style85"/>
        </w:rPr>
        <w:t>ocptn@minv.sk</w:t>
      </w:r>
      <w:r>
        <w:rPr/>
        <w:fldChar w:fldCharType="end"/>
      </w:r>
      <w:r>
        <w:t>, + 421 961 20 3205, + 421 961 20 3200</w:t>
      </w:r>
    </w:p>
    <w:p>
      <w:pPr>
        <w:pStyle w:val="style4097"/>
        <w:ind w:left="720"/>
        <w:rPr>
          <w:b/>
        </w:rPr>
      </w:pPr>
      <w:r>
        <w:rPr>
          <w:b/>
        </w:rPr>
        <w:t xml:space="preserve">kontaktná osoba – kpt. Mgr. Marián </w:t>
      </w:r>
      <w:r>
        <w:rPr>
          <w:b/>
        </w:rPr>
        <w:t>Mušák</w:t>
      </w:r>
      <w:r>
        <w:rPr>
          <w:b/>
        </w:rPr>
        <w:t xml:space="preserve">: </w:t>
      </w:r>
      <w:r>
        <w:rPr>
          <w:b/>
        </w:rPr>
        <w:t>+421</w:t>
      </w:r>
      <w:r>
        <w:rPr>
          <w:b/>
        </w:rPr>
        <w:t xml:space="preserve"> </w:t>
      </w:r>
      <w:r>
        <w:rPr>
          <w:b/>
        </w:rPr>
        <w:t xml:space="preserve">917 </w:t>
      </w:r>
      <w:r>
        <w:rPr>
          <w:b/>
        </w:rPr>
        <w:t>474187</w:t>
      </w:r>
    </w:p>
    <w:p>
      <w:pPr>
        <w:pStyle w:val="style4097"/>
        <w:numPr>
          <w:ilvl w:val="0"/>
          <w:numId w:val="4"/>
        </w:numPr>
        <w:spacing w:before="100" w:beforeAutospacing="true"/>
        <w:jc w:val="both"/>
        <w:rPr>
          <w:rFonts w:eastAsia="Calibri"/>
          <w:lang w:eastAsia="sk-SK"/>
        </w:rPr>
      </w:pPr>
      <w:r>
        <w:rPr>
          <w:rFonts w:eastAsia="Calibri"/>
          <w:b/>
          <w:lang w:eastAsia="sk-SK"/>
        </w:rPr>
        <w:t>Oddelenie cudzineckej polície PZ Žilina</w:t>
      </w:r>
      <w:r>
        <w:rPr>
          <w:rFonts w:eastAsia="Calibri"/>
          <w:lang w:eastAsia="sk-SK"/>
        </w:rPr>
        <w:t>, Janka Kráľa 4, 010 40 Žilina</w:t>
      </w:r>
      <w:r>
        <w:rPr>
          <w:rFonts w:eastAsia="Calibri"/>
          <w:lang w:eastAsia="sk-SK"/>
        </w:rPr>
        <w:t xml:space="preserve">, </w:t>
      </w:r>
      <w:r>
        <w:rPr/>
        <w:fldChar w:fldCharType="begin"/>
      </w:r>
      <w:r>
        <w:instrText xml:space="preserve"> HYPERLINK "mailto:ocpza@minv.sk" </w:instrText>
      </w:r>
      <w:r>
        <w:rPr/>
        <w:fldChar w:fldCharType="separate"/>
      </w:r>
      <w:r>
        <w:rPr>
          <w:rStyle w:val="style85"/>
        </w:rPr>
        <w:t>ocpza@minv.sk</w:t>
      </w:r>
      <w:r>
        <w:rPr/>
        <w:fldChar w:fldCharType="end"/>
      </w:r>
      <w:r>
        <w:t>, + 421 961 40 3205, + 421 961 40 3200</w:t>
      </w:r>
      <w:r>
        <w:t xml:space="preserve">                                  </w:t>
      </w:r>
      <w:r>
        <w:rPr>
          <w:b/>
        </w:rPr>
        <w:t xml:space="preserve">kontaktná osoba – </w:t>
      </w:r>
      <w:r>
        <w:rPr>
          <w:b/>
        </w:rPr>
        <w:t xml:space="preserve">mjr. Ing. Adriana </w:t>
      </w:r>
      <w:r>
        <w:rPr>
          <w:b/>
        </w:rPr>
        <w:t>Bičanovská</w:t>
      </w:r>
      <w:r>
        <w:rPr>
          <w:b/>
        </w:rPr>
        <w:t>: +421</w:t>
      </w:r>
      <w:r>
        <w:rPr>
          <w:b/>
        </w:rPr>
        <w:t xml:space="preserve"> </w:t>
      </w:r>
      <w:r>
        <w:rPr>
          <w:b/>
        </w:rPr>
        <w:t>917 473240</w:t>
      </w:r>
      <w:r>
        <w:rPr>
          <w:rFonts w:eastAsia="Calibri"/>
          <w:lang w:eastAsia="sk-SK"/>
        </w:rPr>
        <w:t>.</w:t>
      </w:r>
    </w:p>
    <w:p>
      <w:pPr>
        <w:pStyle w:val="style179"/>
        <w:rPr>
          <w:rFonts w:ascii="Times New Roman" w:cs="Times New Roman" w:eastAsia="Calibri" w:hAnsi="Times New Roman"/>
          <w:sz w:val="24"/>
          <w:szCs w:val="24"/>
          <w:lang w:eastAsia="sk-SK"/>
        </w:rPr>
      </w:pPr>
    </w:p>
    <w:p>
      <w:pPr>
        <w:pStyle w:val="style0"/>
        <w:spacing w:before="100" w:beforeAutospacing="true" w:after="100" w:afterAutospacing="true" w:lineRule="auto" w:line="240"/>
        <w:ind w:firstLine="426"/>
        <w:jc w:val="both"/>
        <w:rPr>
          <w:rFonts w:ascii="Times New Roman" w:cs="Times New Roman" w:eastAsia="Calibri" w:hAnsi="Times New Roman"/>
          <w:b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b/>
          <w:color w:val="ff0000"/>
          <w:sz w:val="24"/>
          <w:szCs w:val="24"/>
          <w:lang w:eastAsia="sk-SK"/>
        </w:rPr>
        <w:t>Všetky Oddelenia cudzineckej polície v rámci Slovenskej republiky</w:t>
      </w:r>
      <w:r>
        <w:rPr>
          <w:rFonts w:ascii="Times New Roman" w:cs="Times New Roman" w:eastAsia="Calibri" w:hAnsi="Times New Roman"/>
          <w:b/>
          <w:sz w:val="24"/>
          <w:szCs w:val="24"/>
          <w:lang w:eastAsia="sk-SK"/>
        </w:rPr>
        <w:t xml:space="preserve"> prijímajú predmetné žiadosti o dočasné útočisko v nepretržitom režime 24/7. </w:t>
      </w:r>
    </w:p>
    <w:p>
      <w:pPr>
        <w:pStyle w:val="style0"/>
        <w:spacing w:before="100" w:beforeAutospacing="true" w:after="100" w:afterAutospacing="true" w:lineRule="auto" w:line="240"/>
        <w:ind w:firstLine="426"/>
        <w:jc w:val="both"/>
        <w:rPr>
          <w:rFonts w:ascii="Times New Roman" w:cs="Times New Roman" w:eastAsia="Calibri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 xml:space="preserve">V prípade, že </w:t>
      </w:r>
      <w:r>
        <w:rPr>
          <w:rFonts w:ascii="Times New Roman" w:cs="Times New Roman" w:eastAsia="Calibri" w:hAnsi="Times New Roman"/>
          <w:b/>
          <w:sz w:val="24"/>
          <w:szCs w:val="24"/>
          <w:lang w:eastAsia="sk-SK"/>
        </w:rPr>
        <w:t>štátny príslušník Ukrajiny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 xml:space="preserve"> nedokáže preukázať svoju totožnosť, neznamená to, že nebude prijaté vyhlásenie o žiadosti o dočasné útočisko, avšak treba počítať s predĺžením doby potrebnej na zaevidovanie 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štátnych príslušníkov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 xml:space="preserve"> </w:t>
      </w:r>
      <w:r>
        <w:rPr>
          <w:rFonts w:ascii="Times New Roman" w:cs="Times New Roman" w:eastAsia="Calibri" w:hAnsi="Times New Roman"/>
          <w:sz w:val="24"/>
          <w:szCs w:val="24"/>
          <w:lang w:eastAsia="sk-SK"/>
        </w:rPr>
        <w:t>Ukrajiny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 xml:space="preserve"> do 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>príslušných informačných systémov Policajného zboru SR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cs="Times New Roman" w:eastAsia="Calibri" w:hAnsi="Times New Roman"/>
          <w:b/>
          <w:bCs/>
          <w:color w:val="ff0000"/>
          <w:sz w:val="24"/>
          <w:szCs w:val="24"/>
          <w:lang w:eastAsia="sk-SK"/>
        </w:rPr>
        <w:t>a o poskytnutí útočiska rozhodne do 30 dní Migračný úrad MV SR</w:t>
      </w:r>
      <w:r>
        <w:rPr>
          <w:rFonts w:ascii="Times New Roman" w:cs="Times New Roman" w:eastAsia="Calibri" w:hAnsi="Times New Roman"/>
          <w:b/>
          <w:bCs/>
          <w:color w:val="ff0000"/>
          <w:sz w:val="24"/>
          <w:szCs w:val="24"/>
          <w:lang w:eastAsia="sk-SK"/>
        </w:rPr>
        <w:t>.</w:t>
      </w: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</w:p>
    <w:p>
      <w:pPr>
        <w:pStyle w:val="style0"/>
        <w:spacing w:before="100" w:beforeAutospacing="true" w:after="100" w:afterAutospacing="true" w:lineRule="auto" w:line="240"/>
        <w:ind w:firstLine="426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sz w:val="24"/>
          <w:szCs w:val="24"/>
          <w:lang w:eastAsia="sk-SK"/>
        </w:rPr>
        <w:t>V zmysle zákona o azyle sa poskytovanie dočasného útočiska nebude týkať osôb, ktoré majú na území Slovenskej republiky už udelený trvalý pobyt alebo prechodný pobyt, u osôb, ktorým Slovenská republika udelila azyl alebo poskytla doplnkovú ochranu a nebude sa vzťahovať ani na tých, ktorí sú žiadateľmi o udelenie azylu.</w:t>
      </w:r>
    </w:p>
    <w:p>
      <w:pPr>
        <w:pStyle w:val="style0"/>
        <w:spacing w:before="100" w:beforeAutospacing="true" w:after="100" w:afterAutospacing="true" w:lineRule="auto" w:line="240"/>
        <w:ind w:firstLine="426"/>
        <w:jc w:val="both"/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>Ako prílohu tohto listu prikladáme vzory  „vyhlásenia cudzinca“ k žiadosti o poskyt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>nutie dočasného útočiska v slov</w:t>
      </w: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 xml:space="preserve">ensko-ukrajinskej a aj anglickej mutácii. </w:t>
      </w: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</w:pP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 xml:space="preserve">Ďalšie praktické informácie môžete získať na stránke: </w:t>
      </w: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</w:pPr>
      <w:r>
        <w:rPr/>
        <w:fldChar w:fldCharType="begin"/>
      </w:r>
      <w:r>
        <w:instrText xml:space="preserve"> HYPERLINK "https://www.minv.sk/?tlacove-spravy-6&amp;sprava=slovensko-od-1-marca-poskytuje-docasne-utocisko-obcanom-ukrajiny-a-ich-pribuznym-k-dispozicii-je-informacny-letak"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/>
          <w:b/>
          <w:bCs/>
          <w:sz w:val="24"/>
          <w:szCs w:val="24"/>
          <w:lang w:eastAsia="sk-SK"/>
        </w:rPr>
        <w:t>https://www.minv.sk/?tlacove-spravy-6&amp;sprava=slovensko-od-1-marca-poskytuje-docasne-utocisko-obcanom-ukrajiny-a-ich-pribuznym-k-dispozicii-je-informacny-letak</w:t>
      </w:r>
      <w:r>
        <w:rPr/>
        <w:fldChar w:fldCharType="end"/>
      </w: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eastAsia="Calibri" w:hAnsi="Times New Roman"/>
          <w:b/>
          <w:bCs/>
          <w:sz w:val="24"/>
          <w:szCs w:val="24"/>
          <w:lang w:eastAsia="sk-SK"/>
        </w:rPr>
      </w:pP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Times New Roman" w:cs="Times New Roman" w:eastAsia="Calibri" w:hAnsi="Times New Roman"/>
          <w:sz w:val="24"/>
          <w:szCs w:val="24"/>
          <w:lang w:eastAsia="sk-SK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E0EE2C6"/>
    <w:lvl w:ilvl="0" w:tplc="973C589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5B89DFE"/>
    <w:lvl w:ilvl="0" w:tplc="BA365384">
      <w:start w:val="1"/>
      <w:numFmt w:val="bullet"/>
      <w:lvlText w:val="-"/>
      <w:lvlJc w:val="left"/>
      <w:pPr>
        <w:ind w:left="405" w:hanging="360"/>
      </w:pPr>
      <w:rPr>
        <w:rFonts w:ascii="Calibri" w:cs="Times New Roman" w:eastAsia="Calibri" w:hAnsi="Calibri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132483A"/>
    <w:lvl w:ilvl="0" w:tplc="C95EA5B2">
      <w:start w:val="2"/>
      <w:numFmt w:val="bullet"/>
      <w:lvlText w:val="-"/>
      <w:lvlJc w:val="left"/>
      <w:pPr>
        <w:ind w:left="786" w:hanging="360"/>
      </w:pPr>
      <w:rPr>
        <w:rFonts w:ascii="Times New Roman" w:cs="Times New Roman" w:eastAsia="Calibri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910BB36"/>
    <w:lvl w:ilvl="0" w:tplc="8D6AB0D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sk-SK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Šablóna"/>
    <w:basedOn w:val="style31"/>
    <w:next w:val="style4097"/>
    <w:link w:val="style4098"/>
    <w:qFormat/>
    <w:pPr>
      <w:tabs>
        <w:tab w:val="center" w:leader="none" w:pos="-142"/>
        <w:tab w:val="right" w:leader="none" w:pos="9356"/>
      </w:tabs>
      <w:suppressAutoHyphens/>
      <w:ind w:right="-1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customStyle="1" w:styleId="style4098">
    <w:name w:val="Šablóna Char"/>
    <w:next w:val="style4098"/>
    <w:link w:val="style4097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9">
    <w:name w:val="Hlavička Char"/>
    <w:basedOn w:val="style65"/>
    <w:next w:val="style4099"/>
    <w:link w:val="style31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640</Words>
  <Pages>4</Pages>
  <Characters>4056</Characters>
  <Application>WPS Office</Application>
  <DocSecurity>0</DocSecurity>
  <Paragraphs>59</Paragraphs>
  <ScaleCrop>false</ScaleCrop>
  <Company>MVSR</Company>
  <LinksUpToDate>false</LinksUpToDate>
  <CharactersWithSpaces>4724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2022-03-13T19:17:50Z</dcterms:created>
  <dc:creator>Pavel Mak</dc:creator>
  <lastModifiedBy>moto g(8) power lite</lastModifiedBy>
  <dcterms:modified xsi:type="dcterms:W3CDTF">2022-03-13T19:17:50Z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a59b62d40c9d408aa15cb8b5b52cc8ca</vt:lpwstr>
  </property>
</Properties>
</file>